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rtl w:val="0"/>
        </w:rPr>
        <w:t xml:space="preserve">LOCAL OP-ED GUIDANCE</w:t>
      </w:r>
    </w:p>
    <w:p w:rsidR="00000000" w:rsidDel="00000000" w:rsidP="00000000" w:rsidRDefault="00000000" w:rsidRPr="00000000" w14:paraId="00000002">
      <w:pPr>
        <w:spacing w:after="0" w:line="240"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By [OWNER NAME], owner/manager/trainer of [GYM/STUDIO NAME] in [CITY]</w:t>
      </w:r>
    </w:p>
    <w:p w:rsidR="00000000" w:rsidDel="00000000" w:rsidP="00000000" w:rsidRDefault="00000000" w:rsidRPr="00000000" w14:paraId="00000003">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Americans recognize [National Physical Fitness and Sports Month / Mental Health Awareness Month / New Year wellness goals / local health initiatives], more people in [CITY/REGION] are taking proactive steps to improve their health through physical activity.</w:t>
      </w:r>
    </w:p>
    <w:p w:rsidR="00000000" w:rsidDel="00000000" w:rsidP="00000000" w:rsidRDefault="00000000" w:rsidRPr="00000000" w14:paraId="00000005">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[GYM NAME], we see it every day: parents trying to stay healthy for their children, older adults working to maintain mobility and independence, young people building confidence, and working professionals trying to manage stress and improve their quality of life and mental health.</w:t>
      </w:r>
    </w:p>
    <w:p w:rsidR="00000000" w:rsidDel="00000000" w:rsidP="00000000" w:rsidRDefault="00000000" w:rsidRPr="00000000" w14:paraId="00000007">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But we also see something else: too many people who want to prioritize their health still cannot afford access to structured fitness programs and facilities.</w:t>
      </w:r>
    </w:p>
    <w:p w:rsidR="00000000" w:rsidDel="00000000" w:rsidP="00000000" w:rsidRDefault="00000000" w:rsidRPr="00000000" w14:paraId="00000009">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Physical activity remains one of the most effective forms of preventive healthcare available. Regular exercise helps reduce obesity, lower the risk of chronic disease, improve mental health, and strengthen overall quality of life. Yet affordability continues to prevent many people — especially lower-income families, seniors, and underserved communities — from participating consistently.</w:t>
      </w:r>
    </w:p>
    <w:p w:rsidR="00000000" w:rsidDel="00000000" w:rsidP="00000000" w:rsidRDefault="00000000" w:rsidRPr="00000000" w14:paraId="0000000B">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That is where policymakers can make a real difference.</w:t>
      </w:r>
    </w:p>
    <w:p w:rsidR="00000000" w:rsidDel="00000000" w:rsidP="00000000" w:rsidRDefault="00000000" w:rsidRPr="00000000" w14:paraId="0000000D">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Across the country, leaders are talking more about improving public health and reducing healthcare costs. Much of the conversation has rightly focused on nutrition and healthcare access. But physical activity must also be part of the solution.</w:t>
      </w:r>
    </w:p>
    <w:p w:rsidR="00000000" w:rsidDel="00000000" w:rsidP="00000000" w:rsidRDefault="00000000" w:rsidRPr="00000000" w14:paraId="0000000F">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communities like [CITY/COUNTY/REGION], the infrastructure already exists. Local gyms, fitness studios, recreation centers, and community wellness programs are already helping residents improve their health every day. The challenge is not whether these resources work — it is whether enough people can access them.</w:t>
      </w:r>
    </w:p>
    <w:p w:rsidR="00000000" w:rsidDel="00000000" w:rsidP="00000000" w:rsidRDefault="00000000" w:rsidRPr="00000000" w14:paraId="00000011">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Cost remains one of the biggest barriers. For many families, fitness memberships, youth programs, and wellness classes become difficult tradeoffs against housing, childcare, groceries, and healthcare expenses.</w:t>
      </w:r>
    </w:p>
    <w:p w:rsidR="00000000" w:rsidDel="00000000" w:rsidP="00000000" w:rsidRDefault="00000000" w:rsidRPr="00000000" w14:paraId="00000013">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[GYM NAME], we regularly meet individuals who want to improve their health but hesitate because of cost. [INSERT 1-2 SENTENCE LOCAL STORY OR EXAMPLE — avoid naming clients/members unless permission is granted.]</w:t>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recently took these stories to our </w:t>
      </w:r>
      <w:r w:rsidDel="00000000" w:rsidR="00000000" w:rsidRPr="00000000">
        <w:rPr>
          <w:rFonts w:ascii="Times New Roman" w:cs="Times New Roman" w:eastAsia="Times New Roman" w:hAnsi="Times New Roman"/>
          <w:rtl w:val="0"/>
        </w:rPr>
        <w:t xml:space="preserve">nation’s capital</w:t>
      </w:r>
      <w:r w:rsidDel="00000000" w:rsidR="00000000" w:rsidRPr="00000000">
        <w:rPr>
          <w:rFonts w:ascii="Times New Roman" w:cs="Times New Roman" w:eastAsia="Times New Roman" w:hAnsi="Times New Roman"/>
          <w:rtl w:val="0"/>
        </w:rPr>
        <w:t xml:space="preserve">, where I met with </w:t>
      </w:r>
      <w:r w:rsidDel="00000000" w:rsidR="00000000" w:rsidRPr="00000000">
        <w:rPr>
          <w:rFonts w:ascii="Times New Roman" w:cs="Times New Roman" w:eastAsia="Times New Roman" w:hAnsi="Times New Roman"/>
          <w:rtl w:val="0"/>
        </w:rPr>
        <w:t xml:space="preserve">[Representative/Senator Name]</w:t>
      </w:r>
      <w:r w:rsidDel="00000000" w:rsidR="00000000" w:rsidRPr="00000000">
        <w:rPr>
          <w:rFonts w:ascii="Times New Roman" w:cs="Times New Roman" w:eastAsia="Times New Roman" w:hAnsi="Times New Roman"/>
          <w:rtl w:val="0"/>
        </w:rPr>
        <w:t xml:space="preserve"> to advocate for the health of our community. </w:t>
        <w:br w:type="textWrapping"/>
      </w:r>
    </w:p>
    <w:p w:rsidR="00000000" w:rsidDel="00000000" w:rsidP="00000000" w:rsidRDefault="00000000" w:rsidRPr="00000000" w14:paraId="0000001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My message was clear and simple: local fitness professionals are already on the ground fighting chronic disease and mental health struggles every day, but we need federal policy to catch up with how modern preventive healthcare actually works. </w:t>
        <w:br w:type="textWrapping"/>
        <w:t xml:space="preserve">We are ready to do more; we just need to implement small policy changes that could remove the financial barriers that keep people from the starting line.</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Lawmakers should consider practical solutions such as:</w:t>
      </w:r>
    </w:p>
    <w:p w:rsidR="00000000" w:rsidDel="00000000" w:rsidP="00000000" w:rsidRDefault="00000000" w:rsidRPr="00000000" w14:paraId="0000001A">
      <w:pPr>
        <w:numPr>
          <w:ilvl w:val="0"/>
          <w:numId w:val="1"/>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Expanding access to fitness and wellness programs through Medicare and insurance programs</w:t>
      </w:r>
    </w:p>
    <w:p w:rsidR="00000000" w:rsidDel="00000000" w:rsidP="00000000" w:rsidRDefault="00000000" w:rsidRPr="00000000" w14:paraId="0000001B">
      <w:pPr>
        <w:numPr>
          <w:ilvl w:val="0"/>
          <w:numId w:val="1"/>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Allowing Health Savings Accounts (HSAs) and Flexible Spending Accounts (FSAs) to more easily cover fitness expenses</w:t>
      </w:r>
    </w:p>
    <w:p w:rsidR="00000000" w:rsidDel="00000000" w:rsidP="00000000" w:rsidRDefault="00000000" w:rsidRPr="00000000" w14:paraId="0000001C">
      <w:pPr>
        <w:numPr>
          <w:ilvl w:val="0"/>
          <w:numId w:val="1"/>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Encouraging employers to include fitness and wellness benefits as part of preventive healthcare</w:t>
      </w:r>
    </w:p>
    <w:p w:rsidR="00000000" w:rsidDel="00000000" w:rsidP="00000000" w:rsidRDefault="00000000" w:rsidRPr="00000000" w14:paraId="0000001D">
      <w:pPr>
        <w:numPr>
          <w:ilvl w:val="0"/>
          <w:numId w:val="1"/>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Supporting local community wellness initiatives and public-private partnerships that increase physical activity access</w:t>
      </w:r>
    </w:p>
    <w:p w:rsidR="00000000" w:rsidDel="00000000" w:rsidP="00000000" w:rsidRDefault="00000000" w:rsidRPr="00000000" w14:paraId="0000001E">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These are not radical ideas. They are practical investments in prevention</w:t>
      </w:r>
      <w:r w:rsidDel="00000000" w:rsidR="00000000" w:rsidRPr="00000000">
        <w:rPr>
          <w:rFonts w:ascii="Times New Roman" w:cs="Times New Roman" w:eastAsia="Times New Roman" w:hAnsi="Times New Roman"/>
          <w:rtl w:val="0"/>
        </w:rPr>
        <w:t xml:space="preserve"> that have already proven to work.</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long-term costs of inactivity are already affecting communities across [STATE/REGION] through rising healthcare expenses, chronic disease rates, lost productivity, and declining quality of life. Helping more people access fitness is not simply about gyms — it is about building healthier, stronger communities.</w:t>
      </w:r>
    </w:p>
    <w:p w:rsidR="00000000" w:rsidDel="00000000" w:rsidP="00000000" w:rsidRDefault="00000000" w:rsidRPr="00000000" w14:paraId="00000022">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do not need to reinvent the wheel. The facilities, programs, coaches, and community support systems are already here. What we need is policy that helps more Americans access them.</w:t>
      </w:r>
    </w:p>
    <w:p w:rsidR="00000000" w:rsidDel="00000000" w:rsidP="00000000" w:rsidRDefault="00000000" w:rsidRPr="00000000" w14:paraId="00000024">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leaders are serious about improving public health in [STATE/COMMUNITY], expanding access to physical activity should be part of the conversation.</w:t>
      </w:r>
    </w:p>
    <w:p w:rsidR="00000000" w:rsidDel="00000000" w:rsidP="00000000" w:rsidRDefault="00000000" w:rsidRPr="00000000" w14:paraId="00000026">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Preventive healthcare starts long before someone enters a hospital or doctor’s office. Often, it starts at a local gym, fitness studio, youth sports program, or community wellness center.</w:t>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facilities and experts are already here in [CITY/STATE]—now we just need the policy that makes them accessible to everyone.</w:t>
      </w:r>
    </w:p>
    <w:p w:rsidR="00000000" w:rsidDel="00000000" w:rsidP="00000000" w:rsidRDefault="00000000" w:rsidRPr="00000000" w14:paraId="0000002A">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Zwj2sCxHiElU2M7QuMHP09K2Ug==">CgMxLjA4AGojChRzdWdnZXN0LmozMnRqa3JuYWFxYhILTGlhIFBhbGF6em9qIwoUc3VnZ2VzdC56NWMxZ3R3bTRya2oSC0xpYSBQYWxhenpvaiMKFHN1Z2dlc3QuOWRjYWd6dTZ1d2QwEgtMaWEgUGFsYXp6b2ojChRzdWdnZXN0LnR1bnJoc3poMnZuMhILTGlhIFBhbGF6em9qIwoUc3VnZ2VzdC5sZ2h1a2U1ZXp1YjISC0xpYSBQYWxhenpvaiMKFHN1Z2dlc3QubGF4ZGpoajY1OHc3EgtMaWEgUGFsYXp6b2ojChRzdWdnZXN0LjN4dW1td2VkczJyORILTGlhIFBhbGF6em9yITFpMjNWV2NiYkJxbkhDdUNVQU9BNkpvbWJKX1J5dU9p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